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E1" w:rsidRPr="008F47B8" w:rsidRDefault="00752A81" w:rsidP="00971F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Teacher</w:t>
      </w:r>
      <w:r w:rsidR="00971FE1" w:rsidRPr="008F47B8">
        <w:rPr>
          <w:rFonts w:asciiTheme="majorBidi" w:hAnsiTheme="majorBidi" w:cstheme="majorBidi"/>
          <w:b/>
          <w:bCs/>
          <w:sz w:val="28"/>
          <w:szCs w:val="28"/>
        </w:rPr>
        <w:t xml:space="preserve"> Portfolio Assessment Form</w:t>
      </w:r>
    </w:p>
    <w:p w:rsidR="00971FE1" w:rsidRPr="008F47B8" w:rsidRDefault="008F47B8" w:rsidP="00971FE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Teacher`s Name:              </w:t>
      </w:r>
      <w:r w:rsidR="00971FE1" w:rsidRPr="008F47B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Department:      </w:t>
      </w:r>
      <w:r w:rsidR="00971FE1" w:rsidRPr="008F47B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Faculty: </w:t>
      </w:r>
    </w:p>
    <w:p w:rsidR="00971FE1" w:rsidRPr="008F47B8" w:rsidRDefault="00971FE1" w:rsidP="00971FE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F47B8">
        <w:rPr>
          <w:rFonts w:asciiTheme="majorBidi" w:hAnsiTheme="majorBidi" w:cstheme="majorBidi"/>
          <w:b/>
          <w:bCs/>
          <w:sz w:val="28"/>
          <w:szCs w:val="28"/>
        </w:rPr>
        <w:t>University/Board:                            Date:</w:t>
      </w:r>
    </w:p>
    <w:tbl>
      <w:tblPr>
        <w:tblStyle w:val="TableGrid"/>
        <w:tblW w:w="0" w:type="auto"/>
        <w:tblLook w:val="04A0"/>
      </w:tblPr>
      <w:tblGrid>
        <w:gridCol w:w="510"/>
        <w:gridCol w:w="3830"/>
        <w:gridCol w:w="1113"/>
        <w:gridCol w:w="5287"/>
      </w:tblGrid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83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Assessment Question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Level(1-5)</w:t>
            </w:r>
          </w:p>
        </w:tc>
        <w:tc>
          <w:tcPr>
            <w:tcW w:w="5287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Notes: objective and supported by documents specially when the level is high(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&gt;4.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5) or lower than (2) </w:t>
            </w: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971FE1" w:rsidRPr="0072369D" w:rsidRDefault="00943711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The teacher consider</w:t>
            </w:r>
            <w:r w:rsidR="006E4EC0" w:rsidRPr="0072369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the university his/her own and </w:t>
            </w:r>
            <w:r w:rsidR="006E4EC0" w:rsidRPr="0072369D">
              <w:rPr>
                <w:rFonts w:asciiTheme="majorBidi" w:hAnsiTheme="majorBidi" w:cstheme="majorBidi"/>
                <w:sz w:val="24"/>
                <w:szCs w:val="24"/>
              </w:rPr>
              <w:t>dedicates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100% of the </w:t>
            </w:r>
            <w:r w:rsidR="006E4EC0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working hours for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meeting it</w:t>
            </w:r>
            <w:r w:rsidR="006E4EC0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objectives.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Also, the teacher’s attendance is satisfactory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71FE1" w:rsidRPr="0072369D" w:rsidRDefault="00943711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is conscientious, and compensates for missed classes. 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971FE1" w:rsidRPr="0072369D" w:rsidRDefault="00943711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Focuses on quality and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takes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steps towards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offering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quality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education?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971FE1" w:rsidRPr="0072369D" w:rsidRDefault="00C17933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Prepares </w:t>
            </w:r>
            <w:r w:rsidR="0094371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course book in his/her subject in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good time before the course and </w:t>
            </w:r>
            <w:r w:rsidR="0094371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explains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the key objectives </w:t>
            </w:r>
            <w:r w:rsidR="0094371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to the students?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971FE1" w:rsidRPr="0072369D" w:rsidRDefault="00C17933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Participates in the analysis of </w:t>
            </w:r>
            <w:r w:rsidR="0094371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examinations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results </w:t>
            </w:r>
            <w:r w:rsidR="00943711" w:rsidRPr="0072369D">
              <w:rPr>
                <w:rFonts w:asciiTheme="majorBidi" w:hAnsiTheme="majorBidi" w:cstheme="majorBidi"/>
                <w:sz w:val="24"/>
                <w:szCs w:val="24"/>
              </w:rPr>
              <w:t>at the end of the academic year?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971FE1" w:rsidRPr="0072369D" w:rsidRDefault="00943711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is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promotes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critical thinking and also accepts different views?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971FE1" w:rsidRPr="0072369D" w:rsidRDefault="0094371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doesn’t discriminate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between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students and the students are satisfied with him/her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971FE1" w:rsidRPr="0072369D" w:rsidRDefault="00943711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doesn’t allow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external interference, and his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decisions are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made on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objective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grounds in the public interest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30" w:type="dxa"/>
          </w:tcPr>
          <w:p w:rsidR="00971FE1" w:rsidRPr="0072369D" w:rsidRDefault="00E54B14" w:rsidP="00E54B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shows the spirit of team work with other teachers and follows the ethics of respect and patience with them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30" w:type="dxa"/>
          </w:tcPr>
          <w:p w:rsidR="00971FE1" w:rsidRPr="0072369D" w:rsidRDefault="00E54B14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is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expert in his field is a role model for others.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30" w:type="dxa"/>
          </w:tcPr>
          <w:p w:rsidR="00971FE1" w:rsidRPr="0072369D" w:rsidRDefault="00C17933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Follows</w:t>
            </w:r>
            <w:r w:rsidR="00E54B1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University guidelines</w:t>
            </w:r>
            <w:r w:rsidR="00E54B1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and carries out work over and above duty</w:t>
            </w:r>
            <w:r w:rsidR="00E54B1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30" w:type="dxa"/>
          </w:tcPr>
          <w:p w:rsidR="00971FE1" w:rsidRPr="0072369D" w:rsidRDefault="00E54B14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Teacher activel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>y assists the department in its objectives and the delivery of quality education.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30" w:type="dxa"/>
          </w:tcPr>
          <w:p w:rsidR="00971FE1" w:rsidRPr="0072369D" w:rsidRDefault="00E54B14" w:rsidP="00C17933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 is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active has productions </w:t>
            </w:r>
            <w:r w:rsidR="00C17933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at national level or in proceedings of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international conferences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30" w:type="dxa"/>
          </w:tcPr>
          <w:p w:rsidR="00971FE1" w:rsidRPr="0072369D" w:rsidRDefault="00C17933" w:rsidP="00C179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Teachers research is </w:t>
            </w:r>
            <w:r w:rsidR="00E54B1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internationally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recognized and published in high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impact journals.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0" w:type="dxa"/>
          </w:tcPr>
          <w:p w:rsidR="00971FE1" w:rsidRPr="0072369D" w:rsidRDefault="00E54B14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Innovative and actively participates in the different committee inside the department, school or the faculty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30" w:type="dxa"/>
          </w:tcPr>
          <w:p w:rsidR="00971FE1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Teacher actively engaging in community works, professional and charity organizations or any other activity that he/she considers to be of public benefit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1FE1" w:rsidTr="00D05809">
        <w:tc>
          <w:tcPr>
            <w:tcW w:w="510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30" w:type="dxa"/>
          </w:tcPr>
          <w:p w:rsidR="00971FE1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Levels rate </w:t>
            </w:r>
          </w:p>
        </w:tc>
        <w:tc>
          <w:tcPr>
            <w:tcW w:w="1113" w:type="dxa"/>
            <w:shd w:val="clear" w:color="auto" w:fill="EEECE1" w:themeFill="background2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87" w:type="dxa"/>
          </w:tcPr>
          <w:p w:rsidR="00971FE1" w:rsidRPr="0072369D" w:rsidRDefault="00971FE1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33A" w:rsidTr="00D05809">
        <w:trPr>
          <w:trHeight w:val="126"/>
        </w:trPr>
        <w:tc>
          <w:tcPr>
            <w:tcW w:w="510" w:type="dxa"/>
            <w:vMerge w:val="restart"/>
            <w:shd w:val="clear" w:color="auto" w:fill="EEECE1" w:themeFill="background2"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830" w:type="dxa"/>
            <w:vMerge w:val="restart"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Notes, observations, criticism and other progress and development means for the teacher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03433A" w:rsidRPr="0072369D" w:rsidRDefault="0003433A" w:rsidP="0003433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33A" w:rsidTr="00D05809">
        <w:trPr>
          <w:trHeight w:val="124"/>
        </w:trPr>
        <w:tc>
          <w:tcPr>
            <w:tcW w:w="510" w:type="dxa"/>
            <w:vMerge/>
            <w:shd w:val="clear" w:color="auto" w:fill="EEECE1" w:themeFill="background2"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</w:tcPr>
          <w:p w:rsidR="0003433A" w:rsidRPr="0072369D" w:rsidRDefault="0003433A" w:rsidP="0003433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33A" w:rsidTr="00D05809">
        <w:trPr>
          <w:trHeight w:val="124"/>
        </w:trPr>
        <w:tc>
          <w:tcPr>
            <w:tcW w:w="510" w:type="dxa"/>
            <w:vMerge/>
            <w:shd w:val="clear" w:color="auto" w:fill="EEECE1" w:themeFill="background2"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</w:tcPr>
          <w:p w:rsidR="0003433A" w:rsidRPr="0072369D" w:rsidRDefault="0003433A" w:rsidP="0003433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33A" w:rsidTr="00D05809">
        <w:trPr>
          <w:trHeight w:val="124"/>
        </w:trPr>
        <w:tc>
          <w:tcPr>
            <w:tcW w:w="510" w:type="dxa"/>
            <w:vMerge/>
            <w:shd w:val="clear" w:color="auto" w:fill="EEECE1" w:themeFill="background2"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03433A" w:rsidRPr="0072369D" w:rsidRDefault="0003433A" w:rsidP="00971F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</w:tcPr>
          <w:p w:rsidR="0003433A" w:rsidRPr="0072369D" w:rsidRDefault="0003433A" w:rsidP="0003433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:rsidR="0003433A" w:rsidRPr="0072369D" w:rsidRDefault="0003433A" w:rsidP="0003433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Can continue in a new page if necessary </w:t>
            </w:r>
          </w:p>
        </w:tc>
      </w:tr>
    </w:tbl>
    <w:p w:rsidR="00971FE1" w:rsidRDefault="00971FE1" w:rsidP="00971FE1"/>
    <w:p w:rsidR="00825DB5" w:rsidRPr="00971FE1" w:rsidRDefault="00971FE1" w:rsidP="00825DB5">
      <w:r>
        <w:t xml:space="preserve">  </w:t>
      </w:r>
    </w:p>
    <w:p w:rsidR="00825DB5" w:rsidRDefault="00825DB5" w:rsidP="00825DB5">
      <w:r>
        <w:t xml:space="preserve"> </w:t>
      </w:r>
    </w:p>
    <w:p w:rsidR="004F2900" w:rsidRDefault="004F2900" w:rsidP="00A80007"/>
    <w:p w:rsidR="004F2900" w:rsidRDefault="004F2900" w:rsidP="00A80007"/>
    <w:p w:rsidR="00EE4CE2" w:rsidRDefault="007F1EBC" w:rsidP="00A80007">
      <w:r>
        <w:t xml:space="preserve"> </w:t>
      </w:r>
      <w:r w:rsidR="00A66D53">
        <w:t xml:space="preserve"> </w:t>
      </w:r>
      <w:r w:rsidR="00EE4CE2">
        <w:t xml:space="preserve"> </w:t>
      </w:r>
    </w:p>
    <w:p w:rsidR="00EE4CE2" w:rsidRDefault="00EE4CE2" w:rsidP="00A80007"/>
    <w:p w:rsidR="00A80007" w:rsidRDefault="00A80007" w:rsidP="00A80007">
      <w:r>
        <w:t xml:space="preserve"> </w:t>
      </w:r>
    </w:p>
    <w:p w:rsidR="00F96CE4" w:rsidRDefault="0039717D" w:rsidP="001E626E">
      <w:r>
        <w:t xml:space="preserve"> </w:t>
      </w:r>
      <w:r w:rsidR="00F96CE4">
        <w:t xml:space="preserve">  </w:t>
      </w:r>
    </w:p>
    <w:p w:rsidR="00832E89" w:rsidRDefault="001E626E" w:rsidP="001E626E">
      <w:r>
        <w:t xml:space="preserve"> </w:t>
      </w:r>
      <w:r w:rsidR="00832E89">
        <w:t xml:space="preserve">  </w:t>
      </w:r>
    </w:p>
    <w:p w:rsidR="0099640F" w:rsidRDefault="0099640F" w:rsidP="00B673C2"/>
    <w:p w:rsidR="00804AE4" w:rsidRDefault="00804AE4">
      <w:r>
        <w:br w:type="page"/>
      </w:r>
    </w:p>
    <w:p w:rsidR="00B673C2" w:rsidRPr="0072369D" w:rsidRDefault="000343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2369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Table of results for the assessment of teachers portfolio, this will be prepared by the faculty council </w:t>
      </w:r>
    </w:p>
    <w:tbl>
      <w:tblPr>
        <w:tblStyle w:val="TableGrid"/>
        <w:tblW w:w="0" w:type="auto"/>
        <w:tblLook w:val="04A0"/>
      </w:tblPr>
      <w:tblGrid>
        <w:gridCol w:w="826"/>
        <w:gridCol w:w="978"/>
        <w:gridCol w:w="1454"/>
        <w:gridCol w:w="5598"/>
      </w:tblGrid>
      <w:tr w:rsidR="0003433A" w:rsidTr="00F00937">
        <w:tc>
          <w:tcPr>
            <w:tcW w:w="826" w:type="dxa"/>
            <w:shd w:val="clear" w:color="auto" w:fill="EEECE1" w:themeFill="background2"/>
          </w:tcPr>
          <w:p w:rsidR="0003433A" w:rsidRPr="0072369D" w:rsidRDefault="00F00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Grade</w:t>
            </w:r>
          </w:p>
        </w:tc>
        <w:tc>
          <w:tcPr>
            <w:tcW w:w="978" w:type="dxa"/>
            <w:shd w:val="clear" w:color="auto" w:fill="EEECE1" w:themeFill="background2"/>
          </w:tcPr>
          <w:p w:rsidR="0003433A" w:rsidRPr="0072369D" w:rsidRDefault="00F00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Point</w:t>
            </w:r>
          </w:p>
        </w:tc>
        <w:tc>
          <w:tcPr>
            <w:tcW w:w="1454" w:type="dxa"/>
            <w:shd w:val="clear" w:color="auto" w:fill="EEECE1" w:themeFill="background2"/>
          </w:tcPr>
          <w:p w:rsidR="0003433A" w:rsidRPr="0072369D" w:rsidRDefault="00F00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5598" w:type="dxa"/>
            <w:shd w:val="clear" w:color="auto" w:fill="EEECE1" w:themeFill="background2"/>
          </w:tcPr>
          <w:p w:rsidR="0003433A" w:rsidRPr="0072369D" w:rsidRDefault="00F009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Results </w:t>
            </w:r>
          </w:p>
        </w:tc>
      </w:tr>
      <w:tr w:rsidR="0003433A" w:rsidTr="000F0075">
        <w:tc>
          <w:tcPr>
            <w:tcW w:w="826" w:type="dxa"/>
            <w:shd w:val="clear" w:color="auto" w:fill="EEECE1" w:themeFill="background2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78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5-4.5</w:t>
            </w:r>
          </w:p>
        </w:tc>
        <w:tc>
          <w:tcPr>
            <w:tcW w:w="1454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5598" w:type="dxa"/>
          </w:tcPr>
          <w:p w:rsidR="00F00937" w:rsidRDefault="00F00937" w:rsidP="00C23C4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A1-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the teacher has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attained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A+ in C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ontinues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>Academic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60C79" w:rsidRPr="0072369D">
              <w:rPr>
                <w:rFonts w:asciiTheme="majorBidi" w:hAnsiTheme="majorBidi" w:cstheme="majorBidi"/>
                <w:sz w:val="24"/>
                <w:szCs w:val="24"/>
              </w:rPr>
              <w:t>Education program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(CAD)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A+ in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feedback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(SF)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, he/she will be nominated for the teacher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of the year at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the department, faculty or university level. Every year and during the graduation ceremony the names of the best teacher on the university and faculty level will be announced.</w:t>
            </w:r>
          </w:p>
          <w:p w:rsidR="0003433A" w:rsidRPr="0072369D" w:rsidRDefault="00F00937" w:rsidP="00C23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0156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if the teacher has received less than A+ in the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>CAD</w:t>
            </w:r>
            <w:r w:rsidR="004F0156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and SF processes</w:t>
            </w:r>
            <w:r w:rsidR="004F0156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, then he/she will be </w:t>
            </w:r>
            <w:r w:rsidR="00804AE4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dealt with as for </w:t>
            </w:r>
            <w:r w:rsidR="004F0156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B1 </w:t>
            </w:r>
          </w:p>
        </w:tc>
      </w:tr>
      <w:tr w:rsidR="0003433A" w:rsidTr="000F0075">
        <w:tc>
          <w:tcPr>
            <w:tcW w:w="826" w:type="dxa"/>
            <w:shd w:val="clear" w:color="auto" w:fill="EEECE1" w:themeFill="background2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978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4.4-4.0</w:t>
            </w:r>
          </w:p>
        </w:tc>
        <w:tc>
          <w:tcPr>
            <w:tcW w:w="1454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</w:tc>
        <w:tc>
          <w:tcPr>
            <w:tcW w:w="5598" w:type="dxa"/>
          </w:tcPr>
          <w:p w:rsidR="0003433A" w:rsidRPr="0072369D" w:rsidRDefault="004F0156" w:rsidP="00C23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- if the teacher has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attained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A in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the CAD and SF processes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their efforts will be acknowledged Dean of the F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aculty.</w:t>
            </w:r>
          </w:p>
          <w:p w:rsidR="004F0156" w:rsidRPr="0072369D" w:rsidRDefault="004F0156" w:rsidP="00C23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if the teacher has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attached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B or less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in either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CAD or SF,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will be considered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as those who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scored C</w:t>
            </w:r>
          </w:p>
        </w:tc>
      </w:tr>
      <w:tr w:rsidR="0003433A" w:rsidTr="000F0075">
        <w:tc>
          <w:tcPr>
            <w:tcW w:w="826" w:type="dxa"/>
            <w:shd w:val="clear" w:color="auto" w:fill="EEECE1" w:themeFill="background2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78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4.0-3.0</w:t>
            </w:r>
          </w:p>
        </w:tc>
        <w:tc>
          <w:tcPr>
            <w:tcW w:w="1454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5598" w:type="dxa"/>
          </w:tcPr>
          <w:p w:rsidR="0003433A" w:rsidRPr="0072369D" w:rsidRDefault="004F0156" w:rsidP="00C23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The teacher will keep his/her rights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with consideration </w:t>
            </w:r>
            <w:r w:rsidR="00771AD8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feedback notes offered by the Assessment Committee. </w:t>
            </w:r>
          </w:p>
        </w:tc>
      </w:tr>
      <w:tr w:rsidR="0003433A" w:rsidTr="000F0075">
        <w:tc>
          <w:tcPr>
            <w:tcW w:w="826" w:type="dxa"/>
            <w:shd w:val="clear" w:color="auto" w:fill="EEECE1" w:themeFill="background2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978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2.9-2.0</w:t>
            </w:r>
          </w:p>
        </w:tc>
        <w:tc>
          <w:tcPr>
            <w:tcW w:w="1454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Medium</w:t>
            </w:r>
          </w:p>
        </w:tc>
        <w:tc>
          <w:tcPr>
            <w:tcW w:w="5598" w:type="dxa"/>
          </w:tcPr>
          <w:p w:rsidR="0003433A" w:rsidRPr="0072369D" w:rsidRDefault="004F0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D1-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if the teacher has received A or higher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at CAD or SF processes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, will be treated as C (all rights reserved) </w:t>
            </w:r>
          </w:p>
          <w:p w:rsidR="004F0156" w:rsidRPr="0072369D" w:rsidRDefault="004F01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if t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eacher has received B or lower in CAD or SF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processes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then:</w:t>
            </w:r>
          </w:p>
          <w:p w:rsidR="004F0156" w:rsidRPr="0072369D" w:rsidRDefault="004F0156" w:rsidP="00F62ED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Teacher will be asked to attend to the faculty council for discussing the short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falls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in the portfolio and how to correct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them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next year</w:t>
            </w:r>
            <w:r w:rsidR="00530C9F" w:rsidRPr="0072369D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4F0156" w:rsidRPr="0072369D" w:rsidRDefault="004F0156" w:rsidP="00C23C4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If the same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outcome was attained two years in a run,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he/she will be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subject to treatment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as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E2 </w:t>
            </w:r>
          </w:p>
        </w:tc>
      </w:tr>
      <w:tr w:rsidR="0003433A" w:rsidTr="000F0075">
        <w:tc>
          <w:tcPr>
            <w:tcW w:w="826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978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1.9-1</w:t>
            </w:r>
          </w:p>
        </w:tc>
        <w:tc>
          <w:tcPr>
            <w:tcW w:w="1454" w:type="dxa"/>
            <w:vAlign w:val="center"/>
          </w:tcPr>
          <w:p w:rsidR="0003433A" w:rsidRPr="0072369D" w:rsidRDefault="00F00937" w:rsidP="000F00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>Failed</w:t>
            </w:r>
          </w:p>
        </w:tc>
        <w:tc>
          <w:tcPr>
            <w:tcW w:w="5598" w:type="dxa"/>
          </w:tcPr>
          <w:p w:rsidR="0003433A" w:rsidRPr="0072369D" w:rsidRDefault="00242517" w:rsidP="00C23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E1-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if teacher has received A or higher in both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CAD or SF processes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, then he/she will be considered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as in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D2</w:t>
            </w:r>
          </w:p>
          <w:p w:rsidR="00242517" w:rsidRPr="0072369D" w:rsidRDefault="002425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2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E2-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if teacher scored B or lower in either one of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CAD or SF processes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then:</w:t>
            </w:r>
          </w:p>
          <w:p w:rsidR="00242517" w:rsidRPr="0072369D" w:rsidRDefault="00242517" w:rsidP="00C23C4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The teacher will be officially called for attending the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Faculty C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ouncil to discuss the portfolio, the reports and the methods of correction. According to this interview the council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may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decide to either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prevent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the teacher from lecturing for 1 to 3 months or to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re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>train the teacher or make any other decision that is found appropriate</w:t>
            </w:r>
          </w:p>
          <w:p w:rsidR="00242517" w:rsidRPr="0072369D" w:rsidRDefault="00242517" w:rsidP="00C23C4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In case of failing again, the teacher will be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removed 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permanently from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teaching,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and arrangements will be made to transfer him/her from the department to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a more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23C41" w:rsidRPr="0072369D">
              <w:rPr>
                <w:rFonts w:asciiTheme="majorBidi" w:hAnsiTheme="majorBidi" w:cstheme="majorBidi"/>
                <w:sz w:val="24"/>
                <w:szCs w:val="24"/>
              </w:rPr>
              <w:t>fitting position</w:t>
            </w:r>
            <w:r w:rsidRPr="0072369D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</w:tr>
    </w:tbl>
    <w:p w:rsidR="0003433A" w:rsidRPr="0003433A" w:rsidRDefault="0003433A" w:rsidP="0099633E"/>
    <w:sectPr w:rsidR="0003433A" w:rsidRPr="0003433A" w:rsidSect="00955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79"/>
    <w:multiLevelType w:val="hybridMultilevel"/>
    <w:tmpl w:val="F098969E"/>
    <w:lvl w:ilvl="0" w:tplc="E758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4E1A"/>
    <w:multiLevelType w:val="hybridMultilevel"/>
    <w:tmpl w:val="93DCFEA4"/>
    <w:lvl w:ilvl="0" w:tplc="D6760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558"/>
    <w:multiLevelType w:val="hybridMultilevel"/>
    <w:tmpl w:val="03948D48"/>
    <w:lvl w:ilvl="0" w:tplc="4FD87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F68"/>
    <w:multiLevelType w:val="hybridMultilevel"/>
    <w:tmpl w:val="E5BE53F0"/>
    <w:lvl w:ilvl="0" w:tplc="00F656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D6E01"/>
    <w:multiLevelType w:val="hybridMultilevel"/>
    <w:tmpl w:val="2FDEA362"/>
    <w:lvl w:ilvl="0" w:tplc="1B44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33A3E"/>
    <w:multiLevelType w:val="hybridMultilevel"/>
    <w:tmpl w:val="1CB6C55A"/>
    <w:lvl w:ilvl="0" w:tplc="643E3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6BC0"/>
    <w:multiLevelType w:val="hybridMultilevel"/>
    <w:tmpl w:val="8CBC7E70"/>
    <w:lvl w:ilvl="0" w:tplc="C8B41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73C2"/>
    <w:rsid w:val="000276D3"/>
    <w:rsid w:val="0003433A"/>
    <w:rsid w:val="00057C0A"/>
    <w:rsid w:val="0008747B"/>
    <w:rsid w:val="000A1B8F"/>
    <w:rsid w:val="000F0075"/>
    <w:rsid w:val="00102585"/>
    <w:rsid w:val="001A0159"/>
    <w:rsid w:val="001B10A2"/>
    <w:rsid w:val="001C1AB2"/>
    <w:rsid w:val="001D6985"/>
    <w:rsid w:val="001E2F43"/>
    <w:rsid w:val="001E626E"/>
    <w:rsid w:val="001E7318"/>
    <w:rsid w:val="0020524C"/>
    <w:rsid w:val="00242517"/>
    <w:rsid w:val="002A2B37"/>
    <w:rsid w:val="002C0259"/>
    <w:rsid w:val="002D246A"/>
    <w:rsid w:val="002E4662"/>
    <w:rsid w:val="003041F4"/>
    <w:rsid w:val="00327813"/>
    <w:rsid w:val="00392F64"/>
    <w:rsid w:val="0039717D"/>
    <w:rsid w:val="003C612E"/>
    <w:rsid w:val="003E07B5"/>
    <w:rsid w:val="003E2B76"/>
    <w:rsid w:val="004A0DF5"/>
    <w:rsid w:val="004B6ABC"/>
    <w:rsid w:val="004F0156"/>
    <w:rsid w:val="004F2900"/>
    <w:rsid w:val="00530C9F"/>
    <w:rsid w:val="005573AC"/>
    <w:rsid w:val="00571A91"/>
    <w:rsid w:val="00585D9C"/>
    <w:rsid w:val="00595848"/>
    <w:rsid w:val="005C0FC7"/>
    <w:rsid w:val="005F1E22"/>
    <w:rsid w:val="00604CF7"/>
    <w:rsid w:val="00606D9D"/>
    <w:rsid w:val="00614116"/>
    <w:rsid w:val="00660C79"/>
    <w:rsid w:val="006675B6"/>
    <w:rsid w:val="00687FD1"/>
    <w:rsid w:val="00697F20"/>
    <w:rsid w:val="006A77CC"/>
    <w:rsid w:val="006C263F"/>
    <w:rsid w:val="006E4EC0"/>
    <w:rsid w:val="006F7E67"/>
    <w:rsid w:val="00710688"/>
    <w:rsid w:val="0072369D"/>
    <w:rsid w:val="007257F2"/>
    <w:rsid w:val="007456E5"/>
    <w:rsid w:val="00752A5D"/>
    <w:rsid w:val="00752A81"/>
    <w:rsid w:val="00771AD8"/>
    <w:rsid w:val="00772581"/>
    <w:rsid w:val="00775CEF"/>
    <w:rsid w:val="007F1EBC"/>
    <w:rsid w:val="00804AE4"/>
    <w:rsid w:val="00825DB5"/>
    <w:rsid w:val="00832352"/>
    <w:rsid w:val="00832E89"/>
    <w:rsid w:val="00842691"/>
    <w:rsid w:val="00854DB4"/>
    <w:rsid w:val="00886360"/>
    <w:rsid w:val="008F47B8"/>
    <w:rsid w:val="00926D04"/>
    <w:rsid w:val="00943711"/>
    <w:rsid w:val="009559C6"/>
    <w:rsid w:val="00971FE1"/>
    <w:rsid w:val="00994507"/>
    <w:rsid w:val="00996275"/>
    <w:rsid w:val="0099633E"/>
    <w:rsid w:val="0099640F"/>
    <w:rsid w:val="009A43E5"/>
    <w:rsid w:val="00A27DA3"/>
    <w:rsid w:val="00A63B18"/>
    <w:rsid w:val="00A66D53"/>
    <w:rsid w:val="00A80007"/>
    <w:rsid w:val="00A80543"/>
    <w:rsid w:val="00B10F2F"/>
    <w:rsid w:val="00B24589"/>
    <w:rsid w:val="00B251E9"/>
    <w:rsid w:val="00B673C2"/>
    <w:rsid w:val="00B73388"/>
    <w:rsid w:val="00BD69C6"/>
    <w:rsid w:val="00C0203B"/>
    <w:rsid w:val="00C17933"/>
    <w:rsid w:val="00C23C41"/>
    <w:rsid w:val="00C40DA2"/>
    <w:rsid w:val="00C75635"/>
    <w:rsid w:val="00CC0812"/>
    <w:rsid w:val="00CD3C94"/>
    <w:rsid w:val="00D05809"/>
    <w:rsid w:val="00D43FDE"/>
    <w:rsid w:val="00E140F8"/>
    <w:rsid w:val="00E22E78"/>
    <w:rsid w:val="00E54B14"/>
    <w:rsid w:val="00EA401F"/>
    <w:rsid w:val="00ED0F92"/>
    <w:rsid w:val="00EE4034"/>
    <w:rsid w:val="00EE4CE2"/>
    <w:rsid w:val="00F00937"/>
    <w:rsid w:val="00F62ED6"/>
    <w:rsid w:val="00F96CE4"/>
    <w:rsid w:val="00FA1293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C2"/>
    <w:pPr>
      <w:ind w:left="720"/>
      <w:contextualSpacing/>
    </w:pPr>
  </w:style>
  <w:style w:type="table" w:styleId="TableGrid">
    <w:name w:val="Table Grid"/>
    <w:basedOn w:val="TableNormal"/>
    <w:uiPriority w:val="59"/>
    <w:rsid w:val="002C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C2"/>
    <w:pPr>
      <w:ind w:left="720"/>
      <w:contextualSpacing/>
    </w:pPr>
  </w:style>
  <w:style w:type="table" w:styleId="TableGrid">
    <w:name w:val="Table Grid"/>
    <w:basedOn w:val="TableNormal"/>
    <w:uiPriority w:val="59"/>
    <w:rsid w:val="002C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Karwan Doskee</cp:lastModifiedBy>
  <cp:revision>22</cp:revision>
  <dcterms:created xsi:type="dcterms:W3CDTF">2012-04-10T07:21:00Z</dcterms:created>
  <dcterms:modified xsi:type="dcterms:W3CDTF">2016-02-04T16:05:00Z</dcterms:modified>
</cp:coreProperties>
</file>